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hd w:val="clear" w:color="auto" w:fill="FFFFFF"/>
          <w:lang w:eastAsia="zh-CN"/>
        </w:rPr>
      </w:pPr>
      <w:r>
        <w:rPr>
          <w:rFonts w:hint="eastAsia"/>
          <w:b/>
          <w:sz w:val="32"/>
          <w:shd w:val="clear" w:color="auto" w:fill="FFFFFF"/>
          <w:lang w:eastAsia="zh-CN"/>
        </w:rPr>
        <w:t>仙塘渔花组贴心公园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重大偏差（废标）情况一览表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tbl>
      <w:tblPr>
        <w:tblStyle w:val="2"/>
        <w:tblW w:w="10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114"/>
        <w:gridCol w:w="2882"/>
        <w:gridCol w:w="3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投标单位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重大偏差</w:t>
            </w:r>
            <w:r>
              <w:rPr>
                <w:rFonts w:hint="eastAsia"/>
                <w:sz w:val="24"/>
                <w:szCs w:val="24"/>
                <w:lang w:eastAsia="zh-CN"/>
              </w:rPr>
              <w:t>描述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违反评标办法（废标条件）条款号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广东九潮建设有限公司 </w:t>
            </w:r>
          </w:p>
        </w:tc>
        <w:tc>
          <w:tcPr>
            <w:tcW w:w="2882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投标报价文件中：投标函、投标总价及单位工程费汇总三者不一致。</w:t>
            </w:r>
          </w:p>
        </w:tc>
        <w:tc>
          <w:tcPr>
            <w:tcW w:w="3706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第三章2.2详细评审标准，投标报价第3点。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ordWrap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招标人：佛山市顺德区龙江镇仙塘村民委员会</w:t>
      </w:r>
    </w:p>
    <w:p>
      <w:pPr>
        <w:ind w:firstLine="3220" w:firstLineChars="1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  期：20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4320"/>
    <w:rsid w:val="06532074"/>
    <w:rsid w:val="06FB4320"/>
    <w:rsid w:val="22257967"/>
    <w:rsid w:val="2C9F0ACE"/>
    <w:rsid w:val="3D5E50FD"/>
    <w:rsid w:val="6D535020"/>
    <w:rsid w:val="6EEB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2018-11-23T02:43:00Z</dcterms:created>
  <dc:creator>Administrator</dc:creator>
  <cp:lastModifiedBy>NTKO</cp:lastModifiedBy>
  <cp:lastPrinted>2020-11-10T06:35:50Z</cp:lastPrinted>
  <dcterms:modified xsi:type="dcterms:W3CDTF">2020-11-10T06:38:35Z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